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5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6"/>
        <w:gridCol w:w="5596"/>
      </w:tblGrid>
      <w:tr w:rsidR="00E4523B" w14:paraId="2E575D15" w14:textId="77777777">
        <w:tblPrEx>
          <w:tblCellMar>
            <w:top w:w="0" w:type="dxa"/>
            <w:bottom w:w="0" w:type="dxa"/>
          </w:tblCellMar>
        </w:tblPrEx>
        <w:tc>
          <w:tcPr>
            <w:tcW w:w="10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5D12" w14:textId="77777777" w:rsidR="00E4523B" w:rsidRDefault="00D20DB3">
            <w:pPr>
              <w:pStyle w:val="Standard"/>
              <w:widowControl w:val="0"/>
              <w:tabs>
                <w:tab w:val="left" w:pos="2370"/>
              </w:tabs>
              <w:rPr>
                <w:rFonts w:ascii="Arial" w:eastAsia="Cambria" w:hAnsi="Arial" w:cs="Arial"/>
                <w:sz w:val="28"/>
                <w:szCs w:val="28"/>
              </w:rPr>
            </w:pPr>
            <w:r>
              <w:rPr>
                <w:rFonts w:ascii="Arial" w:eastAsia="Cambria" w:hAnsi="Arial" w:cs="Arial"/>
                <w:sz w:val="28"/>
                <w:szCs w:val="28"/>
              </w:rPr>
              <w:t>Besluitenlijst Algemeen Bestuur Veiligheidsregio Groningen</w:t>
            </w:r>
          </w:p>
          <w:p w14:paraId="2E575D13" w14:textId="77777777" w:rsidR="00E4523B" w:rsidRDefault="00E4523B">
            <w:pPr>
              <w:pStyle w:val="Standard"/>
              <w:widowControl w:val="0"/>
              <w:rPr>
                <w:rFonts w:ascii="Arial" w:eastAsia="Cambria" w:hAnsi="Arial" w:cs="Arial"/>
                <w:sz w:val="24"/>
                <w:szCs w:val="24"/>
              </w:rPr>
            </w:pPr>
          </w:p>
        </w:tc>
        <w:tc>
          <w:tcPr>
            <w:tcW w:w="5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75D14" w14:textId="77777777" w:rsidR="00E4523B" w:rsidRDefault="00E4523B">
            <w:pPr>
              <w:pStyle w:val="Standard"/>
              <w:widowControl w:val="0"/>
              <w:ind w:left="1331"/>
              <w:rPr>
                <w:rFonts w:ascii="Arial" w:eastAsia="Cambria" w:hAnsi="Arial" w:cs="Arial"/>
                <w:sz w:val="24"/>
                <w:szCs w:val="24"/>
              </w:rPr>
            </w:pPr>
          </w:p>
        </w:tc>
      </w:tr>
    </w:tbl>
    <w:p w14:paraId="2E575D16" w14:textId="77777777" w:rsidR="00E4523B" w:rsidRDefault="00D20DB3">
      <w:pPr>
        <w:pStyle w:val="Standard"/>
        <w:rPr>
          <w:rFonts w:ascii="Arial" w:eastAsia="Cambria" w:hAnsi="Arial" w:cs="Arial"/>
          <w:b/>
          <w:bCs/>
        </w:rPr>
      </w:pPr>
      <w:r>
        <w:rPr>
          <w:rFonts w:ascii="Arial" w:eastAsia="Cambria" w:hAnsi="Arial" w:cs="Arial"/>
          <w:b/>
          <w:bCs/>
        </w:rPr>
        <w:t>Vergadering d.d. 29 oktober 2021</w:t>
      </w:r>
    </w:p>
    <w:p w14:paraId="2E575D17" w14:textId="77777777" w:rsidR="00E4523B" w:rsidRDefault="00E4523B">
      <w:pPr>
        <w:pStyle w:val="Standard"/>
      </w:pPr>
    </w:p>
    <w:p w14:paraId="2E575D18" w14:textId="77777777" w:rsidR="00E4523B" w:rsidRDefault="00D20DB3">
      <w:pPr>
        <w:pStyle w:val="Standard"/>
        <w:widowControl w:val="0"/>
      </w:pPr>
      <w:r>
        <w:rPr>
          <w:rFonts w:ascii="Arial" w:eastAsia="Cambria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E575D12" wp14:editId="2E575D13">
            <wp:simplePos x="0" y="0"/>
            <wp:positionH relativeFrom="column">
              <wp:posOffset>8621969</wp:posOffset>
            </wp:positionH>
            <wp:positionV relativeFrom="paragraph">
              <wp:posOffset>-25603</wp:posOffset>
            </wp:positionV>
            <wp:extent cx="426933" cy="773673"/>
            <wp:effectExtent l="0" t="0" r="0" b="7377"/>
            <wp:wrapNone/>
            <wp:docPr id="1" name="Afbeelding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933" cy="7736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Cambria" w:hAnsi="Arial" w:cs="Arial"/>
        </w:rPr>
        <w:t>Datum/nr.: 20211029.02</w:t>
      </w:r>
    </w:p>
    <w:p w14:paraId="2E575D19" w14:textId="77777777" w:rsidR="00E4523B" w:rsidRDefault="00D20DB3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Concept verslag d.d. 2 juli 2021</w:t>
      </w:r>
    </w:p>
    <w:p w14:paraId="2E575D1A" w14:textId="77777777" w:rsidR="00E4523B" w:rsidRDefault="00D20DB3">
      <w:pPr>
        <w:pStyle w:val="Standard"/>
        <w:widowControl w:val="0"/>
      </w:pPr>
      <w:r>
        <w:rPr>
          <w:rFonts w:ascii="Arial" w:eastAsia="Calibri" w:hAnsi="Arial" w:cs="Arial"/>
          <w:bCs/>
          <w:iCs/>
          <w:lang w:eastAsia="en-US"/>
        </w:rPr>
        <w:t>Het Algemeen Bestuur besluit: Het verslag vast te stellen.</w:t>
      </w:r>
    </w:p>
    <w:p w14:paraId="2E575D1B" w14:textId="77777777" w:rsidR="00E4523B" w:rsidRDefault="00E4523B">
      <w:pPr>
        <w:pStyle w:val="Standard"/>
        <w:widowControl w:val="0"/>
        <w:rPr>
          <w:rFonts w:ascii="Arial" w:eastAsia="Cambria" w:hAnsi="Arial" w:cs="Arial"/>
        </w:rPr>
      </w:pPr>
    </w:p>
    <w:p w14:paraId="2E575D1C" w14:textId="77777777" w:rsidR="00E4523B" w:rsidRDefault="00E4523B">
      <w:pPr>
        <w:pStyle w:val="Standard"/>
        <w:widowControl w:val="0"/>
        <w:rPr>
          <w:rFonts w:ascii="Arial" w:eastAsia="Cambria" w:hAnsi="Arial" w:cs="Arial"/>
        </w:rPr>
      </w:pPr>
    </w:p>
    <w:p w14:paraId="2E575D1D" w14:textId="77777777" w:rsidR="00E4523B" w:rsidRDefault="00D20DB3">
      <w:pPr>
        <w:pStyle w:val="Standard"/>
        <w:widowControl w:val="0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>Datum/nr.: 20211029.04</w:t>
      </w:r>
    </w:p>
    <w:p w14:paraId="2E575D1E" w14:textId="77777777" w:rsidR="00E4523B" w:rsidRDefault="00D20DB3">
      <w:pPr>
        <w:pStyle w:val="Standard"/>
        <w:widowControl w:val="0"/>
        <w:rPr>
          <w:rFonts w:ascii="Arial" w:eastAsia="Cambria" w:hAnsi="Arial" w:cs="Arial"/>
          <w:bCs/>
        </w:rPr>
      </w:pPr>
      <w:r>
        <w:rPr>
          <w:rFonts w:ascii="Arial" w:eastAsia="Cambria" w:hAnsi="Arial" w:cs="Arial"/>
          <w:bCs/>
        </w:rPr>
        <w:t>Onderwerp: P7 rapportage</w:t>
      </w:r>
    </w:p>
    <w:p w14:paraId="2E575D1F" w14:textId="77777777" w:rsidR="00E4523B" w:rsidRDefault="00D20DB3">
      <w:pPr>
        <w:pStyle w:val="Lijstalinea"/>
        <w:widowControl w:val="0"/>
        <w:spacing w:after="200"/>
        <w:ind w:left="0"/>
        <w:contextualSpacing/>
        <w:rPr>
          <w:rFonts w:ascii="Arial" w:eastAsia="Calibri" w:hAnsi="Arial" w:cs="Arial"/>
          <w:bCs/>
          <w:iCs/>
          <w:color w:val="000000"/>
          <w:lang w:eastAsia="en-US"/>
        </w:rPr>
      </w:pPr>
      <w:r>
        <w:rPr>
          <w:rFonts w:ascii="Arial" w:eastAsia="Calibri" w:hAnsi="Arial" w:cs="Arial"/>
          <w:bCs/>
          <w:iCs/>
          <w:color w:val="000000"/>
          <w:lang w:eastAsia="en-US"/>
        </w:rPr>
        <w:t>Het Algemeen Bestuur besluit: De P7 rapportage vast te stellen</w:t>
      </w:r>
    </w:p>
    <w:p w14:paraId="2E575D20" w14:textId="77777777" w:rsidR="00E4523B" w:rsidRDefault="00E4523B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575D21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20211029.05</w:t>
      </w:r>
    </w:p>
    <w:p w14:paraId="2E575D22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Onderwerp: Controleplan 2021, normenkader 2021, plan van aanpak </w:t>
      </w:r>
      <w:r>
        <w:rPr>
          <w:rFonts w:ascii="Arial" w:eastAsia="Cambria" w:hAnsi="Arial" w:cs="Arial"/>
          <w:bCs/>
          <w:color w:val="000000"/>
        </w:rPr>
        <w:t>rechtmatigheidsverantwoording</w:t>
      </w:r>
    </w:p>
    <w:p w14:paraId="2E575D23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Het Algemeen Bestuur besluit:   </w:t>
      </w:r>
    </w:p>
    <w:p w14:paraId="2E575D24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1. Het normenkader voor 2021 vast te stellen;</w:t>
      </w:r>
    </w:p>
    <w:p w14:paraId="2E575D25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2. De goedkeuringstoleranties zoals genoemd in het Besluit Accountantscontrole Decentrale  </w:t>
      </w:r>
    </w:p>
    <w:p w14:paraId="2E575D26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    Overheden (BADO) vast te stellen als te hanteren to</w:t>
      </w:r>
      <w:r>
        <w:rPr>
          <w:rFonts w:ascii="Arial" w:eastAsia="Cambria" w:hAnsi="Arial" w:cs="Arial"/>
          <w:bCs/>
          <w:color w:val="000000"/>
        </w:rPr>
        <w:t>leranties voor de accountantscontrole van de</w:t>
      </w:r>
    </w:p>
    <w:p w14:paraId="2E575D27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    jaarstukken van de VRG;</w:t>
      </w:r>
    </w:p>
    <w:p w14:paraId="2E575D28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3. Het controleplan 2021 vast te stellen;</w:t>
      </w:r>
    </w:p>
    <w:p w14:paraId="2E575D29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4. Kennis te nemen van het Plan van Aanpak inzake Rechtmatigheidsverantwoording 2022;</w:t>
      </w:r>
    </w:p>
    <w:p w14:paraId="2E575D2A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5. Voor de inrichting van de </w:t>
      </w:r>
      <w:r>
        <w:rPr>
          <w:rFonts w:ascii="Arial" w:eastAsia="Cambria" w:hAnsi="Arial" w:cs="Arial"/>
          <w:bCs/>
          <w:color w:val="000000"/>
        </w:rPr>
        <w:t>Rechtmatigheidsverantwoording met ingang van 2022:</w:t>
      </w:r>
    </w:p>
    <w:p w14:paraId="2E575D2B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    - De verantwoordingsgrens vast te stellen op 1% van de totale lasten (inclusief toevoeging reserves)</w:t>
      </w:r>
    </w:p>
    <w:p w14:paraId="2E575D2C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    - Het ambitieniveau vast te stellen op een rechtmatigheidsverantwoording gericht op de financiël</w:t>
      </w:r>
      <w:r>
        <w:rPr>
          <w:rFonts w:ascii="Arial" w:eastAsia="Cambria" w:hAnsi="Arial" w:cs="Arial"/>
          <w:bCs/>
          <w:color w:val="000000"/>
        </w:rPr>
        <w:t xml:space="preserve">e  </w:t>
      </w:r>
    </w:p>
    <w:p w14:paraId="2E575D2D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 xml:space="preserve">      rechtmatigheid en hantering van wettelijke normen (variant 1). </w:t>
      </w:r>
    </w:p>
    <w:p w14:paraId="2E575D2E" w14:textId="77777777" w:rsidR="00E4523B" w:rsidRDefault="00E4523B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575D2F" w14:textId="77777777" w:rsidR="00E4523B" w:rsidRDefault="00E4523B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575D30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20211029.06</w:t>
      </w:r>
    </w:p>
    <w:p w14:paraId="2E575D31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Zienswijze begroting 2022 gemeente Westerwolde</w:t>
      </w:r>
    </w:p>
    <w:p w14:paraId="2E575D32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In te stemmen met de reactie op de zienswijze van de gemeente Westerw</w:t>
      </w:r>
      <w:r>
        <w:rPr>
          <w:rFonts w:ascii="Arial" w:eastAsia="Cambria" w:hAnsi="Arial" w:cs="Arial"/>
          <w:bCs/>
          <w:color w:val="000000"/>
        </w:rPr>
        <w:t>olde, waarbij VRG verantwoordelijkheid draagt om te voorzien in goede oplossingen en een eenmalige financiële bijdrage vanuit de gemeente Westerwolde op dit moment niet nodig is.</w:t>
      </w:r>
    </w:p>
    <w:p w14:paraId="2E575D33" w14:textId="77777777" w:rsidR="00E4523B" w:rsidRDefault="00E4523B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575D34" w14:textId="77777777" w:rsidR="00E4523B" w:rsidRDefault="00E4523B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575D35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20211029.07</w:t>
      </w:r>
    </w:p>
    <w:p w14:paraId="2E575D36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Onderwerp: Oprichting Stichting Risicobeheer</w:t>
      </w:r>
    </w:p>
    <w:p w14:paraId="2E575D37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</w:t>
      </w:r>
      <w:r>
        <w:rPr>
          <w:rFonts w:ascii="Arial" w:eastAsia="Cambria" w:hAnsi="Arial" w:cs="Arial"/>
          <w:bCs/>
          <w:color w:val="000000"/>
        </w:rPr>
        <w:t xml:space="preserve">emeen Bestuur besluit:  </w:t>
      </w:r>
    </w:p>
    <w:p w14:paraId="2E575D38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lastRenderedPageBreak/>
        <w:t>1. In te stemmen met de oprichting van en deelname aan de stichting risicobeheer veiligheidsregio’s, die VRG op het thema risicobeheer rondom ongevallen en schade adviseert en voor de veiligheidsregio’s (ongevallen)verzekeringen in</w:t>
      </w:r>
      <w:r>
        <w:rPr>
          <w:rFonts w:ascii="Arial" w:eastAsia="Cambria" w:hAnsi="Arial" w:cs="Arial"/>
          <w:bCs/>
          <w:color w:val="000000"/>
        </w:rPr>
        <w:t>koopt;</w:t>
      </w:r>
    </w:p>
    <w:p w14:paraId="2E575D39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2. Voorafgaand aan het besluit tot oprichting van de stichting risicobeheer veiligheidsregio’s de gemeenteraden te verzoeken hun wensen en bedenkingen te uiten gelet op artikel 31a lid 2 Wet gemeenschappelijke regelingen.</w:t>
      </w:r>
    </w:p>
    <w:p w14:paraId="2E575D3A" w14:textId="77777777" w:rsidR="00E4523B" w:rsidRDefault="00E4523B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575D3B" w14:textId="77777777" w:rsidR="00E4523B" w:rsidRDefault="00E4523B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p w14:paraId="2E575D3C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Datum/nr.: 20211029.08</w:t>
      </w:r>
    </w:p>
    <w:p w14:paraId="2E575D3D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On</w:t>
      </w:r>
      <w:r>
        <w:rPr>
          <w:rFonts w:ascii="Arial" w:eastAsia="Cambria" w:hAnsi="Arial" w:cs="Arial"/>
          <w:bCs/>
          <w:color w:val="000000"/>
        </w:rPr>
        <w:t>derwerp: Vergaderplanning bestuur 2022</w:t>
      </w:r>
    </w:p>
    <w:p w14:paraId="2E575D3E" w14:textId="77777777" w:rsidR="00E4523B" w:rsidRDefault="00D20DB3">
      <w:pPr>
        <w:spacing w:after="200"/>
        <w:contextualSpacing/>
        <w:rPr>
          <w:rFonts w:ascii="Arial" w:eastAsia="Cambria" w:hAnsi="Arial" w:cs="Arial"/>
          <w:bCs/>
          <w:color w:val="000000"/>
        </w:rPr>
      </w:pPr>
      <w:r>
        <w:rPr>
          <w:rFonts w:ascii="Arial" w:eastAsia="Cambria" w:hAnsi="Arial" w:cs="Arial"/>
          <w:bCs/>
          <w:color w:val="000000"/>
        </w:rPr>
        <w:t>Het Algemeen Bestuur besluit: In te stemmen met het vergaderschema 2022.</w:t>
      </w:r>
    </w:p>
    <w:p w14:paraId="2E575D3F" w14:textId="77777777" w:rsidR="00E4523B" w:rsidRDefault="00E4523B">
      <w:pPr>
        <w:spacing w:after="200"/>
        <w:contextualSpacing/>
        <w:rPr>
          <w:rFonts w:ascii="Arial" w:eastAsia="Cambria" w:hAnsi="Arial" w:cs="Arial"/>
          <w:bCs/>
          <w:color w:val="000000"/>
        </w:rPr>
      </w:pPr>
    </w:p>
    <w:sectPr w:rsidR="00E4523B">
      <w:headerReference w:type="default" r:id="rId12"/>
      <w:pgSz w:w="16838" w:h="11906" w:orient="landscape"/>
      <w:pgMar w:top="1418" w:right="1418" w:bottom="141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75D18" w14:textId="77777777" w:rsidR="00000000" w:rsidRDefault="00D20DB3">
      <w:r>
        <w:separator/>
      </w:r>
    </w:p>
  </w:endnote>
  <w:endnote w:type="continuationSeparator" w:id="0">
    <w:p w14:paraId="2E575D1A" w14:textId="77777777" w:rsidR="00000000" w:rsidRDefault="00D2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CG Times (W1)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charset w:val="02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75D14" w14:textId="77777777" w:rsidR="00000000" w:rsidRDefault="00D20DB3">
      <w:r>
        <w:rPr>
          <w:color w:val="000000"/>
        </w:rPr>
        <w:separator/>
      </w:r>
    </w:p>
  </w:footnote>
  <w:footnote w:type="continuationSeparator" w:id="0">
    <w:p w14:paraId="2E575D16" w14:textId="77777777" w:rsidR="00000000" w:rsidRDefault="00D20D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5D1C" w14:textId="77777777" w:rsidR="00874081" w:rsidRDefault="00D20DB3">
    <w:pPr>
      <w:pStyle w:val="Standard"/>
      <w:widowControl w:val="0"/>
      <w:rPr>
        <w:rFonts w:ascii="Arial" w:eastAsia="Calibri" w:hAnsi="Arial" w:cs="Arial"/>
        <w:bCs/>
        <w:iCs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6670"/>
    <w:multiLevelType w:val="multilevel"/>
    <w:tmpl w:val="315E47EA"/>
    <w:styleLink w:val="WWNum2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" w15:restartNumberingAfterBreak="0">
    <w:nsid w:val="053029C0"/>
    <w:multiLevelType w:val="multilevel"/>
    <w:tmpl w:val="DF1611E8"/>
    <w:styleLink w:val="WWNum43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87231D6"/>
    <w:multiLevelType w:val="multilevel"/>
    <w:tmpl w:val="35F41D3E"/>
    <w:styleLink w:val="WWNum6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00A7025"/>
    <w:multiLevelType w:val="multilevel"/>
    <w:tmpl w:val="F4B09E68"/>
    <w:styleLink w:val="WWNum27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3BE22EC"/>
    <w:multiLevelType w:val="multilevel"/>
    <w:tmpl w:val="FB8E4062"/>
    <w:styleLink w:val="WWNum2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5" w15:restartNumberingAfterBreak="0">
    <w:nsid w:val="13C0669A"/>
    <w:multiLevelType w:val="multilevel"/>
    <w:tmpl w:val="BCD6EAFE"/>
    <w:styleLink w:val="WWNum47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6" w15:restartNumberingAfterBreak="0">
    <w:nsid w:val="141C2D96"/>
    <w:multiLevelType w:val="multilevel"/>
    <w:tmpl w:val="1E4A41DE"/>
    <w:styleLink w:val="WWNum46"/>
    <w:lvl w:ilvl="0">
      <w:start w:val="1"/>
      <w:numFmt w:val="decimal"/>
      <w:lvlText w:val="%1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18342D37"/>
    <w:multiLevelType w:val="multilevel"/>
    <w:tmpl w:val="AF783014"/>
    <w:styleLink w:val="WWNum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8" w15:restartNumberingAfterBreak="0">
    <w:nsid w:val="18C27858"/>
    <w:multiLevelType w:val="multilevel"/>
    <w:tmpl w:val="21ECCE50"/>
    <w:styleLink w:val="WWNum10"/>
    <w:lvl w:ilvl="0">
      <w:start w:val="1"/>
      <w:numFmt w:val="decimal"/>
      <w:lvlText w:val="%1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0F45FC"/>
    <w:multiLevelType w:val="multilevel"/>
    <w:tmpl w:val="179ACC40"/>
    <w:styleLink w:val="WWNum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0" w15:restartNumberingAfterBreak="0">
    <w:nsid w:val="1C29108E"/>
    <w:multiLevelType w:val="multilevel"/>
    <w:tmpl w:val="A0788B78"/>
    <w:styleLink w:val="WWNum3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1" w15:restartNumberingAfterBreak="0">
    <w:nsid w:val="22BB09D9"/>
    <w:multiLevelType w:val="multilevel"/>
    <w:tmpl w:val="08060820"/>
    <w:styleLink w:val="WWNum23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2" w15:restartNumberingAfterBreak="0">
    <w:nsid w:val="2550221B"/>
    <w:multiLevelType w:val="multilevel"/>
    <w:tmpl w:val="2018794A"/>
    <w:styleLink w:val="WWNum9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8075D0B"/>
    <w:multiLevelType w:val="multilevel"/>
    <w:tmpl w:val="50265288"/>
    <w:styleLink w:val="WWNum2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4" w15:restartNumberingAfterBreak="0">
    <w:nsid w:val="28EF251F"/>
    <w:multiLevelType w:val="multilevel"/>
    <w:tmpl w:val="BDEED15C"/>
    <w:styleLink w:val="WWNum2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DA49B0"/>
    <w:multiLevelType w:val="multilevel"/>
    <w:tmpl w:val="5BFE9996"/>
    <w:styleLink w:val="WWNum1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</w:lvl>
    <w:lvl w:ilvl="2">
      <w:start w:val="1"/>
      <w:numFmt w:val="lowerRoman"/>
      <w:lvlText w:val="%1.%2.%3"/>
      <w:lvlJc w:val="right"/>
      <w:pPr>
        <w:ind w:left="1800" w:hanging="180"/>
      </w:pPr>
    </w:lvl>
    <w:lvl w:ilvl="3">
      <w:start w:val="1"/>
      <w:numFmt w:val="decimal"/>
      <w:lvlText w:val="%1.%2.%3.%4"/>
      <w:lvlJc w:val="left"/>
      <w:pPr>
        <w:ind w:left="2520" w:hanging="360"/>
      </w:pPr>
    </w:lvl>
    <w:lvl w:ilvl="4">
      <w:start w:val="1"/>
      <w:numFmt w:val="lowerLetter"/>
      <w:lvlText w:val="%1.%2.%3.%4.%5"/>
      <w:lvlJc w:val="left"/>
      <w:pPr>
        <w:ind w:left="3240" w:hanging="360"/>
      </w:pPr>
    </w:lvl>
    <w:lvl w:ilvl="5">
      <w:start w:val="1"/>
      <w:numFmt w:val="lowerRoman"/>
      <w:lvlText w:val="%1.%2.%3.%4.%5.%6"/>
      <w:lvlJc w:val="right"/>
      <w:pPr>
        <w:ind w:left="3960" w:hanging="180"/>
      </w:pPr>
    </w:lvl>
    <w:lvl w:ilvl="6">
      <w:start w:val="1"/>
      <w:numFmt w:val="decimal"/>
      <w:lvlText w:val="%1.%2.%3.%4.%5.%6.%7"/>
      <w:lvlJc w:val="left"/>
      <w:pPr>
        <w:ind w:left="4680" w:hanging="360"/>
      </w:pPr>
    </w:lvl>
    <w:lvl w:ilvl="7">
      <w:start w:val="1"/>
      <w:numFmt w:val="lowerLetter"/>
      <w:lvlText w:val="%1.%2.%3.%4.%5.%6.%7.%8"/>
      <w:lvlJc w:val="left"/>
      <w:pPr>
        <w:ind w:left="5400" w:hanging="360"/>
      </w:pPr>
    </w:lvl>
    <w:lvl w:ilvl="8">
      <w:start w:val="1"/>
      <w:numFmt w:val="lowerRoman"/>
      <w:lvlText w:val="%1.%2.%3.%4.%5.%6.%7.%8.%9"/>
      <w:lvlJc w:val="right"/>
      <w:pPr>
        <w:ind w:left="6120" w:hanging="180"/>
      </w:pPr>
    </w:lvl>
  </w:abstractNum>
  <w:abstractNum w:abstractNumId="16" w15:restartNumberingAfterBreak="0">
    <w:nsid w:val="31635859"/>
    <w:multiLevelType w:val="multilevel"/>
    <w:tmpl w:val="2EA01EC4"/>
    <w:styleLink w:val="WWNum32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17" w15:restartNumberingAfterBreak="0">
    <w:nsid w:val="31885FEB"/>
    <w:multiLevelType w:val="multilevel"/>
    <w:tmpl w:val="E74E206E"/>
    <w:styleLink w:val="WWNum19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8" w15:restartNumberingAfterBreak="0">
    <w:nsid w:val="36517327"/>
    <w:multiLevelType w:val="multilevel"/>
    <w:tmpl w:val="CFEE88B0"/>
    <w:styleLink w:val="WWNum30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19" w15:restartNumberingAfterBreak="0">
    <w:nsid w:val="3ABA3483"/>
    <w:multiLevelType w:val="multilevel"/>
    <w:tmpl w:val="7280FFCE"/>
    <w:styleLink w:val="WWNum4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DA646F6"/>
    <w:multiLevelType w:val="multilevel"/>
    <w:tmpl w:val="22D82EAA"/>
    <w:styleLink w:val="WWNum35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1" w15:restartNumberingAfterBreak="0">
    <w:nsid w:val="405A09F9"/>
    <w:multiLevelType w:val="multilevel"/>
    <w:tmpl w:val="70ACDF6E"/>
    <w:styleLink w:val="WWNum39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2" w15:restartNumberingAfterBreak="0">
    <w:nsid w:val="44232DA9"/>
    <w:multiLevelType w:val="multilevel"/>
    <w:tmpl w:val="B2CA6320"/>
    <w:styleLink w:val="WWNum4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BFC5163"/>
    <w:multiLevelType w:val="multilevel"/>
    <w:tmpl w:val="362208DA"/>
    <w:styleLink w:val="WWNum12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4" w15:restartNumberingAfterBreak="0">
    <w:nsid w:val="4CDC64A6"/>
    <w:multiLevelType w:val="multilevel"/>
    <w:tmpl w:val="1646E320"/>
    <w:styleLink w:val="WWNum17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25" w15:restartNumberingAfterBreak="0">
    <w:nsid w:val="4D3B1EDC"/>
    <w:multiLevelType w:val="multilevel"/>
    <w:tmpl w:val="3E3E6510"/>
    <w:styleLink w:val="WWNum3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26" w15:restartNumberingAfterBreak="0">
    <w:nsid w:val="4E085BB0"/>
    <w:multiLevelType w:val="multilevel"/>
    <w:tmpl w:val="518A73F8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1ED2B93"/>
    <w:multiLevelType w:val="multilevel"/>
    <w:tmpl w:val="AB684682"/>
    <w:styleLink w:val="WWNum15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3C613F6"/>
    <w:multiLevelType w:val="multilevel"/>
    <w:tmpl w:val="14BE0C48"/>
    <w:styleLink w:val="WWNum1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6153851"/>
    <w:multiLevelType w:val="multilevel"/>
    <w:tmpl w:val="82EC239A"/>
    <w:styleLink w:val="WWNum2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1.%2"/>
      <w:lvlJc w:val="left"/>
      <w:pPr>
        <w:ind w:left="1800" w:hanging="360"/>
      </w:pPr>
    </w:lvl>
    <w:lvl w:ilvl="2">
      <w:start w:val="1"/>
      <w:numFmt w:val="lowerRoman"/>
      <w:lvlText w:val="%1.%2.%3"/>
      <w:lvlJc w:val="right"/>
      <w:pPr>
        <w:ind w:left="2520" w:hanging="180"/>
      </w:pPr>
    </w:lvl>
    <w:lvl w:ilvl="3">
      <w:start w:val="1"/>
      <w:numFmt w:val="decimal"/>
      <w:lvlText w:val="%1.%2.%3.%4"/>
      <w:lvlJc w:val="left"/>
      <w:pPr>
        <w:ind w:left="3240" w:hanging="360"/>
      </w:pPr>
    </w:lvl>
    <w:lvl w:ilvl="4">
      <w:start w:val="1"/>
      <w:numFmt w:val="lowerLetter"/>
      <w:lvlText w:val="%1.%2.%3.%4.%5"/>
      <w:lvlJc w:val="left"/>
      <w:pPr>
        <w:ind w:left="3960" w:hanging="360"/>
      </w:pPr>
    </w:lvl>
    <w:lvl w:ilvl="5">
      <w:start w:val="1"/>
      <w:numFmt w:val="lowerRoman"/>
      <w:lvlText w:val="%1.%2.%3.%4.%5.%6"/>
      <w:lvlJc w:val="right"/>
      <w:pPr>
        <w:ind w:left="4680" w:hanging="180"/>
      </w:pPr>
    </w:lvl>
    <w:lvl w:ilvl="6">
      <w:start w:val="1"/>
      <w:numFmt w:val="decimal"/>
      <w:lvlText w:val="%1.%2.%3.%4.%5.%6.%7"/>
      <w:lvlJc w:val="left"/>
      <w:pPr>
        <w:ind w:left="5400" w:hanging="360"/>
      </w:pPr>
    </w:lvl>
    <w:lvl w:ilvl="7">
      <w:start w:val="1"/>
      <w:numFmt w:val="lowerLetter"/>
      <w:lvlText w:val="%1.%2.%3.%4.%5.%6.%7.%8"/>
      <w:lvlJc w:val="left"/>
      <w:pPr>
        <w:ind w:left="6120" w:hanging="360"/>
      </w:pPr>
    </w:lvl>
    <w:lvl w:ilvl="8">
      <w:start w:val="1"/>
      <w:numFmt w:val="lowerRoman"/>
      <w:lvlText w:val="%1.%2.%3.%4.%5.%6.%7.%8.%9"/>
      <w:lvlJc w:val="right"/>
      <w:pPr>
        <w:ind w:left="6840" w:hanging="180"/>
      </w:pPr>
    </w:lvl>
  </w:abstractNum>
  <w:abstractNum w:abstractNumId="30" w15:restartNumberingAfterBreak="0">
    <w:nsid w:val="573E371A"/>
    <w:multiLevelType w:val="multilevel"/>
    <w:tmpl w:val="3CC6C12A"/>
    <w:styleLink w:val="WWNum33"/>
    <w:lvl w:ilvl="0">
      <w:start w:val="2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31" w15:restartNumberingAfterBreak="0">
    <w:nsid w:val="577326B5"/>
    <w:multiLevelType w:val="multilevel"/>
    <w:tmpl w:val="4556829C"/>
    <w:styleLink w:val="WWNum45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2" w15:restartNumberingAfterBreak="0">
    <w:nsid w:val="5B8D081C"/>
    <w:multiLevelType w:val="multilevel"/>
    <w:tmpl w:val="98EC088A"/>
    <w:styleLink w:val="WWNum14"/>
    <w:lvl w:ilvl="0">
      <w:start w:val="1"/>
      <w:numFmt w:val="decimal"/>
      <w:lvlText w:val="%1"/>
      <w:lvlJc w:val="left"/>
      <w:pPr>
        <w:ind w:left="1065" w:hanging="705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3" w15:restartNumberingAfterBreak="0">
    <w:nsid w:val="5CED2AD0"/>
    <w:multiLevelType w:val="multilevel"/>
    <w:tmpl w:val="3BAC912C"/>
    <w:styleLink w:val="WWNum3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5DC22B7A"/>
    <w:multiLevelType w:val="multilevel"/>
    <w:tmpl w:val="47F88046"/>
    <w:styleLink w:val="WWNum2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5FAE6F7D"/>
    <w:multiLevelType w:val="multilevel"/>
    <w:tmpl w:val="DEF4F1A2"/>
    <w:styleLink w:val="WWNum41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6" w15:restartNumberingAfterBreak="0">
    <w:nsid w:val="608C1725"/>
    <w:multiLevelType w:val="multilevel"/>
    <w:tmpl w:val="165C1CE2"/>
    <w:styleLink w:val="WWNum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37" w15:restartNumberingAfterBreak="0">
    <w:nsid w:val="63753E6C"/>
    <w:multiLevelType w:val="multilevel"/>
    <w:tmpl w:val="D0E47254"/>
    <w:styleLink w:val="WWNum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3810703"/>
    <w:multiLevelType w:val="multilevel"/>
    <w:tmpl w:val="39AE204A"/>
    <w:styleLink w:val="WWNum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39" w15:restartNumberingAfterBreak="0">
    <w:nsid w:val="648A5977"/>
    <w:multiLevelType w:val="multilevel"/>
    <w:tmpl w:val="CDEC95FC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68990151"/>
    <w:multiLevelType w:val="multilevel"/>
    <w:tmpl w:val="7EB08F6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1" w15:restartNumberingAfterBreak="0">
    <w:nsid w:val="691108B5"/>
    <w:multiLevelType w:val="multilevel"/>
    <w:tmpl w:val="765E71A2"/>
    <w:styleLink w:val="WWNum37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2" w15:restartNumberingAfterBreak="0">
    <w:nsid w:val="6A657F65"/>
    <w:multiLevelType w:val="multilevel"/>
    <w:tmpl w:val="11B24698"/>
    <w:styleLink w:val="WWNum36"/>
    <w:lvl w:ilvl="0">
      <w:start w:val="5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160" w:hanging="36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decimal"/>
      <w:lvlText w:val="%1.%2.%3.%4.%5"/>
      <w:lvlJc w:val="left"/>
      <w:pPr>
        <w:ind w:left="3600" w:hanging="360"/>
      </w:pPr>
    </w:lvl>
    <w:lvl w:ilvl="5">
      <w:start w:val="1"/>
      <w:numFmt w:val="decimal"/>
      <w:lvlText w:val="%1.%2.%3.%4.%5.%6"/>
      <w:lvlJc w:val="left"/>
      <w:pPr>
        <w:ind w:left="4320" w:hanging="36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decimal"/>
      <w:lvlText w:val="%1.%2.%3.%4.%5.%6.%7.%8"/>
      <w:lvlJc w:val="left"/>
      <w:pPr>
        <w:ind w:left="5760" w:hanging="360"/>
      </w:pPr>
    </w:lvl>
    <w:lvl w:ilvl="8">
      <w:start w:val="1"/>
      <w:numFmt w:val="decimal"/>
      <w:lvlText w:val="%1.%2.%3.%4.%5.%6.%7.%8.%9"/>
      <w:lvlJc w:val="left"/>
      <w:pPr>
        <w:ind w:left="6480" w:hanging="360"/>
      </w:pPr>
    </w:lvl>
  </w:abstractNum>
  <w:abstractNum w:abstractNumId="43" w15:restartNumberingAfterBreak="0">
    <w:nsid w:val="6CC63FF1"/>
    <w:multiLevelType w:val="multilevel"/>
    <w:tmpl w:val="5EE4DA58"/>
    <w:styleLink w:val="WWNum4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4" w15:restartNumberingAfterBreak="0">
    <w:nsid w:val="6FEB602F"/>
    <w:multiLevelType w:val="multilevel"/>
    <w:tmpl w:val="4F12BF1C"/>
    <w:styleLink w:val="WWNum7"/>
    <w:lvl w:ilvl="0">
      <w:start w:val="1"/>
      <w:numFmt w:val="lowerLetter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5" w15:restartNumberingAfterBreak="0">
    <w:nsid w:val="730D11D9"/>
    <w:multiLevelType w:val="multilevel"/>
    <w:tmpl w:val="C6ECE478"/>
    <w:styleLink w:val="WWNum4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789B1FCF"/>
    <w:multiLevelType w:val="multilevel"/>
    <w:tmpl w:val="16728004"/>
    <w:styleLink w:val="WWNum21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abstractNum w:abstractNumId="47" w15:restartNumberingAfterBreak="0">
    <w:nsid w:val="790C0833"/>
    <w:multiLevelType w:val="multilevel"/>
    <w:tmpl w:val="7CBC98FA"/>
    <w:styleLink w:val="WWNum16"/>
    <w:lvl w:ilvl="0">
      <w:numFmt w:val="bullet"/>
      <w:lvlText w:val="-"/>
      <w:lvlJc w:val="left"/>
      <w:pPr>
        <w:ind w:left="69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50" w:hanging="360"/>
      </w:pPr>
      <w:rPr>
        <w:rFonts w:ascii="Wingdings" w:hAnsi="Wingdings"/>
      </w:rPr>
    </w:lvl>
  </w:abstractNum>
  <w:num w:numId="1" w16cid:durableId="1436053653">
    <w:abstractNumId w:val="40"/>
  </w:num>
  <w:num w:numId="2" w16cid:durableId="784009061">
    <w:abstractNumId w:val="39"/>
  </w:num>
  <w:num w:numId="3" w16cid:durableId="623973192">
    <w:abstractNumId w:val="29"/>
  </w:num>
  <w:num w:numId="4" w16cid:durableId="1553612675">
    <w:abstractNumId w:val="33"/>
  </w:num>
  <w:num w:numId="5" w16cid:durableId="271015407">
    <w:abstractNumId w:val="19"/>
  </w:num>
  <w:num w:numId="6" w16cid:durableId="1292126456">
    <w:abstractNumId w:val="37"/>
  </w:num>
  <w:num w:numId="7" w16cid:durableId="675376458">
    <w:abstractNumId w:val="2"/>
  </w:num>
  <w:num w:numId="8" w16cid:durableId="443813765">
    <w:abstractNumId w:val="44"/>
  </w:num>
  <w:num w:numId="9" w16cid:durableId="2121028107">
    <w:abstractNumId w:val="7"/>
  </w:num>
  <w:num w:numId="10" w16cid:durableId="1169712465">
    <w:abstractNumId w:val="12"/>
  </w:num>
  <w:num w:numId="11" w16cid:durableId="913003934">
    <w:abstractNumId w:val="8"/>
  </w:num>
  <w:num w:numId="12" w16cid:durableId="855924603">
    <w:abstractNumId w:val="28"/>
  </w:num>
  <w:num w:numId="13" w16cid:durableId="35474444">
    <w:abstractNumId w:val="23"/>
  </w:num>
  <w:num w:numId="14" w16cid:durableId="1263033802">
    <w:abstractNumId w:val="15"/>
  </w:num>
  <w:num w:numId="15" w16cid:durableId="1906992216">
    <w:abstractNumId w:val="32"/>
  </w:num>
  <w:num w:numId="16" w16cid:durableId="1062021492">
    <w:abstractNumId w:val="27"/>
  </w:num>
  <w:num w:numId="17" w16cid:durableId="222258651">
    <w:abstractNumId w:val="47"/>
  </w:num>
  <w:num w:numId="18" w16cid:durableId="2051879869">
    <w:abstractNumId w:val="24"/>
  </w:num>
  <w:num w:numId="19" w16cid:durableId="643201706">
    <w:abstractNumId w:val="9"/>
  </w:num>
  <w:num w:numId="20" w16cid:durableId="838423114">
    <w:abstractNumId w:val="17"/>
  </w:num>
  <w:num w:numId="21" w16cid:durableId="1363748785">
    <w:abstractNumId w:val="13"/>
  </w:num>
  <w:num w:numId="22" w16cid:durableId="1488939939">
    <w:abstractNumId w:val="46"/>
  </w:num>
  <w:num w:numId="23" w16cid:durableId="425735402">
    <w:abstractNumId w:val="14"/>
  </w:num>
  <w:num w:numId="24" w16cid:durableId="421072268">
    <w:abstractNumId w:val="11"/>
  </w:num>
  <w:num w:numId="25" w16cid:durableId="133914353">
    <w:abstractNumId w:val="38"/>
  </w:num>
  <w:num w:numId="26" w16cid:durableId="644117913">
    <w:abstractNumId w:val="0"/>
  </w:num>
  <w:num w:numId="27" w16cid:durableId="723524089">
    <w:abstractNumId w:val="26"/>
  </w:num>
  <w:num w:numId="28" w16cid:durableId="1090929303">
    <w:abstractNumId w:val="3"/>
  </w:num>
  <w:num w:numId="29" w16cid:durableId="759957601">
    <w:abstractNumId w:val="34"/>
  </w:num>
  <w:num w:numId="30" w16cid:durableId="1111558372">
    <w:abstractNumId w:val="4"/>
  </w:num>
  <w:num w:numId="31" w16cid:durableId="850491413">
    <w:abstractNumId w:val="18"/>
  </w:num>
  <w:num w:numId="32" w16cid:durableId="1850096191">
    <w:abstractNumId w:val="10"/>
  </w:num>
  <w:num w:numId="33" w16cid:durableId="1251888144">
    <w:abstractNumId w:val="16"/>
  </w:num>
  <w:num w:numId="34" w16cid:durableId="2031225627">
    <w:abstractNumId w:val="30"/>
  </w:num>
  <w:num w:numId="35" w16cid:durableId="1396930596">
    <w:abstractNumId w:val="25"/>
  </w:num>
  <w:num w:numId="36" w16cid:durableId="1538855358">
    <w:abstractNumId w:val="20"/>
  </w:num>
  <w:num w:numId="37" w16cid:durableId="1679650168">
    <w:abstractNumId w:val="42"/>
  </w:num>
  <w:num w:numId="38" w16cid:durableId="1604613253">
    <w:abstractNumId w:val="41"/>
  </w:num>
  <w:num w:numId="39" w16cid:durableId="1223254704">
    <w:abstractNumId w:val="36"/>
  </w:num>
  <w:num w:numId="40" w16cid:durableId="304161753">
    <w:abstractNumId w:val="21"/>
  </w:num>
  <w:num w:numId="41" w16cid:durableId="48572630">
    <w:abstractNumId w:val="43"/>
  </w:num>
  <w:num w:numId="42" w16cid:durableId="973873535">
    <w:abstractNumId w:val="35"/>
  </w:num>
  <w:num w:numId="43" w16cid:durableId="359016190">
    <w:abstractNumId w:val="22"/>
  </w:num>
  <w:num w:numId="44" w16cid:durableId="384571512">
    <w:abstractNumId w:val="1"/>
  </w:num>
  <w:num w:numId="45" w16cid:durableId="1103843942">
    <w:abstractNumId w:val="45"/>
  </w:num>
  <w:num w:numId="46" w16cid:durableId="206995134">
    <w:abstractNumId w:val="31"/>
  </w:num>
  <w:num w:numId="47" w16cid:durableId="1001155341">
    <w:abstractNumId w:val="6"/>
  </w:num>
  <w:num w:numId="48" w16cid:durableId="13545012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523B"/>
    <w:rsid w:val="00D20DB3"/>
    <w:rsid w:val="00E4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75D12"/>
  <w15:docId w15:val="{3BA4C747-50FD-4A52-AF84-3889B7E4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paragraph" w:styleId="Kop1">
    <w:name w:val="heading 1"/>
    <w:basedOn w:val="Standard"/>
    <w:next w:val="Standard"/>
    <w:uiPriority w:val="9"/>
    <w:qFormat/>
    <w:pPr>
      <w:keepNext/>
      <w:outlineLvl w:val="0"/>
    </w:pPr>
    <w:rPr>
      <w:b/>
    </w:rPr>
  </w:style>
  <w:style w:type="paragraph" w:styleId="Kop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b/>
    </w:rPr>
  </w:style>
  <w:style w:type="paragraph" w:styleId="Kop3">
    <w:name w:val="heading 3"/>
    <w:basedOn w:val="Standard"/>
    <w:next w:val="Standard"/>
    <w:uiPriority w:val="9"/>
    <w:semiHidden/>
    <w:unhideWhenUsed/>
    <w:qFormat/>
    <w:pPr>
      <w:keepNext/>
      <w:ind w:left="360"/>
      <w:outlineLvl w:val="2"/>
    </w:pPr>
    <w:rPr>
      <w:i/>
    </w:rPr>
  </w:style>
  <w:style w:type="paragraph" w:styleId="Kop4">
    <w:name w:val="heading 4"/>
    <w:basedOn w:val="Standard"/>
    <w:next w:val="Standard"/>
    <w:uiPriority w:val="9"/>
    <w:semiHidden/>
    <w:unhideWhenUsed/>
    <w:qFormat/>
    <w:pPr>
      <w:keepNext/>
      <w:ind w:left="360"/>
      <w:outlineLvl w:val="3"/>
    </w:pPr>
    <w:rPr>
      <w:b/>
      <w:i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rPr>
      <w:b/>
      <w:sz w:val="22"/>
    </w:rPr>
  </w:style>
  <w:style w:type="paragraph" w:styleId="Lijst">
    <w:name w:val="List"/>
    <w:basedOn w:val="Textbody"/>
    <w:rPr>
      <w:rFonts w:cs="Lohit Devanagari"/>
      <w:sz w:val="24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styleId="Tekstopmerking">
    <w:name w:val="annotation text"/>
    <w:basedOn w:val="Standard"/>
  </w:style>
  <w:style w:type="paragraph" w:customStyle="1" w:styleId="Textbodyindent">
    <w:name w:val="Text body indent"/>
    <w:basedOn w:val="Standard"/>
    <w:pPr>
      <w:ind w:left="360"/>
    </w:pPr>
    <w:rPr>
      <w:sz w:val="22"/>
    </w:rPr>
  </w:style>
  <w:style w:type="paragraph" w:styleId="Plattetekstinspringen2">
    <w:name w:val="Body Text Indent 2"/>
    <w:basedOn w:val="Standard"/>
    <w:pPr>
      <w:ind w:left="709"/>
    </w:pPr>
  </w:style>
  <w:style w:type="paragraph" w:styleId="Plattetekstinspringen3">
    <w:name w:val="Body Text Indent 3"/>
    <w:basedOn w:val="Standard"/>
    <w:pPr>
      <w:ind w:left="709"/>
    </w:pPr>
    <w:rPr>
      <w:sz w:val="18"/>
    </w:rPr>
  </w:style>
  <w:style w:type="paragraph" w:styleId="Plattetekst2">
    <w:name w:val="Body Text 2"/>
    <w:basedOn w:val="Standard"/>
    <w:rPr>
      <w:b/>
      <w:i/>
      <w:sz w:val="22"/>
    </w:rPr>
  </w:style>
  <w:style w:type="paragraph" w:customStyle="1" w:styleId="HeaderandFooter">
    <w:name w:val="Header and Footer"/>
    <w:basedOn w:val="Standard"/>
  </w:style>
  <w:style w:type="paragraph" w:styleId="Koptekst">
    <w:name w:val="header"/>
    <w:basedOn w:val="Standard"/>
    <w:pPr>
      <w:tabs>
        <w:tab w:val="center" w:pos="4536"/>
        <w:tab w:val="right" w:pos="9072"/>
      </w:tabs>
    </w:pPr>
    <w:rPr>
      <w:rFonts w:ascii="CG Times (W1)" w:eastAsia="CG Times (W1)" w:hAnsi="CG Times (W1)" w:cs="CG Times (W1)"/>
      <w:sz w:val="22"/>
    </w:rPr>
  </w:style>
  <w:style w:type="paragraph" w:styleId="Ballon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harChar">
    <w:name w:val="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CharChar1CharCharChar">
    <w:name w:val="Char Char1 Char Char Char"/>
    <w:basedOn w:val="Standard"/>
    <w:pPr>
      <w:spacing w:after="160" w:line="240" w:lineRule="exact"/>
    </w:pPr>
    <w:rPr>
      <w:rFonts w:ascii="Tahoma" w:eastAsia="Tahoma" w:hAnsi="Tahoma" w:cs="Tahoma"/>
      <w:lang w:val="en-US" w:eastAsia="en-US"/>
    </w:rPr>
  </w:style>
  <w:style w:type="paragraph" w:customStyle="1" w:styleId="Gemiddeldraster1-accent21">
    <w:name w:val="Gemiddeld raster 1 - accent 21"/>
    <w:basedOn w:val="Standard"/>
    <w:pPr>
      <w:ind w:left="708"/>
    </w:pPr>
  </w:style>
  <w:style w:type="paragraph" w:customStyle="1" w:styleId="Kleurrijkelijst-accent11">
    <w:name w:val="Kleurrijke lijst - accent 11"/>
    <w:basedOn w:val="Standard"/>
    <w:pPr>
      <w:ind w:left="708"/>
    </w:pPr>
  </w:style>
  <w:style w:type="paragraph" w:styleId="Voettekst">
    <w:name w:val="footer"/>
    <w:basedOn w:val="Standard"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rd"/>
    <w:pPr>
      <w:ind w:left="708"/>
    </w:pPr>
  </w:style>
  <w:style w:type="paragraph" w:styleId="Geenafstand">
    <w:name w:val="No Spacing"/>
    <w:pPr>
      <w:widowControl/>
      <w:suppressAutoHyphens/>
    </w:pPr>
    <w:rPr>
      <w:rFonts w:ascii="Cambria" w:eastAsia="Cambria" w:hAnsi="Cambria" w:cs="Cambria"/>
      <w:sz w:val="22"/>
      <w:szCs w:val="22"/>
      <w:lang w:eastAsia="en-US"/>
    </w:rPr>
  </w:style>
  <w:style w:type="paragraph" w:customStyle="1" w:styleId="Default">
    <w:name w:val="Default"/>
    <w:pPr>
      <w:widowControl/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Verwijzingopmerking">
    <w:name w:val="annotation reference"/>
    <w:rPr>
      <w:sz w:val="16"/>
    </w:rPr>
  </w:style>
  <w:style w:type="character" w:customStyle="1" w:styleId="VoettekstChar">
    <w:name w:val="Voettekst Char"/>
    <w:basedOn w:val="Standaardalinea-lettertype"/>
  </w:style>
  <w:style w:type="character" w:customStyle="1" w:styleId="LijstalineaChar">
    <w:name w:val="Lijstalinea Char"/>
  </w:style>
  <w:style w:type="character" w:customStyle="1" w:styleId="ListLabel1">
    <w:name w:val="ListLabel 1"/>
    <w:rPr>
      <w:rFonts w:eastAsia="Times New Roman" w:cs="Calibri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Arial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Times New Roman" w:cs="Aria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eastAsia="Times New Roman" w:cs="Aria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b w:val="0"/>
    </w:rPr>
  </w:style>
  <w:style w:type="character" w:customStyle="1" w:styleId="ListLabel21">
    <w:name w:val="ListLabel 21"/>
    <w:rPr>
      <w:rFonts w:eastAsia="Times New Roman" w:cs="Aria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Times New Roman" w:cs="Calibri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b w:val="0"/>
    </w:rPr>
  </w:style>
  <w:style w:type="character" w:customStyle="1" w:styleId="ListLabel33">
    <w:name w:val="ListLabel 33"/>
    <w:rPr>
      <w:b w:val="0"/>
    </w:rPr>
  </w:style>
  <w:style w:type="character" w:customStyle="1" w:styleId="ListLabel34">
    <w:name w:val="ListLabel 34"/>
    <w:rPr>
      <w:rFonts w:eastAsia="Times New Roman" w:cs="Times New Roman"/>
    </w:rPr>
  </w:style>
  <w:style w:type="character" w:customStyle="1" w:styleId="ListLabel35">
    <w:name w:val="ListLabel 35"/>
    <w:rPr>
      <w:rFonts w:cs="Courier New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Courier New"/>
    </w:rPr>
  </w:style>
  <w:style w:type="character" w:customStyle="1" w:styleId="ListLabel38">
    <w:name w:val="ListLabel 38"/>
    <w:rPr>
      <w:rFonts w:eastAsia="Times New Roman" w:cs="Arial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Courier New"/>
    </w:rPr>
  </w:style>
  <w:style w:type="character" w:customStyle="1" w:styleId="ListLabel41">
    <w:name w:val="ListLabel 41"/>
    <w:rPr>
      <w:rFonts w:cs="Courier New"/>
    </w:rPr>
  </w:style>
  <w:style w:type="character" w:customStyle="1" w:styleId="ListLabel42">
    <w:name w:val="ListLabel 42"/>
    <w:rPr>
      <w:rFonts w:eastAsia="Calibri" w:cs="Times New Roman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Courier New"/>
    </w:rPr>
  </w:style>
  <w:style w:type="character" w:customStyle="1" w:styleId="ListLabel46">
    <w:name w:val="ListLabel 46"/>
    <w:rPr>
      <w:rFonts w:eastAsia="Times New Roman" w:cs="Arial"/>
    </w:rPr>
  </w:style>
  <w:style w:type="character" w:customStyle="1" w:styleId="ListLabel47">
    <w:name w:val="ListLabel 47"/>
    <w:rPr>
      <w:rFonts w:cs="Courier New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eastAsia="Times New Roman" w:cs="Calibri"/>
    </w:rPr>
  </w:style>
  <w:style w:type="character" w:customStyle="1" w:styleId="ListLabel51">
    <w:name w:val="ListLabel 51"/>
    <w:rPr>
      <w:rFonts w:cs="Courier New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eastAsia="Times New Roman" w:cs="Calibri"/>
    </w:rPr>
  </w:style>
  <w:style w:type="character" w:customStyle="1" w:styleId="ListLabel55">
    <w:name w:val="ListLabel 55"/>
    <w:rPr>
      <w:rFonts w:cs="Courier New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Courier New"/>
    </w:rPr>
  </w:style>
  <w:style w:type="character" w:customStyle="1" w:styleId="ListLabel58">
    <w:name w:val="ListLabel 58"/>
    <w:rPr>
      <w:b w:val="0"/>
    </w:rPr>
  </w:style>
  <w:style w:type="character" w:customStyle="1" w:styleId="ListLabel59">
    <w:name w:val="ListLabel 59"/>
    <w:rPr>
      <w:b w:val="0"/>
    </w:rPr>
  </w:style>
  <w:style w:type="character" w:customStyle="1" w:styleId="ListLabel60">
    <w:name w:val="ListLabel 60"/>
    <w:rPr>
      <w:b w:val="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b w:val="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b w:val="0"/>
    </w:rPr>
  </w:style>
  <w:style w:type="character" w:customStyle="1" w:styleId="ListLabel81">
    <w:name w:val="ListLabel 81"/>
    <w:rPr>
      <w:rFonts w:eastAsia="Times New Roman" w:cs="Calibri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eastAsia="Calibri" w:cs="Arial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eastAsia="Calibri" w:cs="Arial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cs="Courier New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ascii="Calibri" w:eastAsia="Calibri" w:hAnsi="Calibri" w:cs="Times New Roman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cs="Courier New"/>
    </w:rPr>
  </w:style>
  <w:style w:type="character" w:customStyle="1" w:styleId="ListLabel96">
    <w:name w:val="ListLabel 96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NoList">
    <w:name w:val="No List"/>
    <w:basedOn w:val="Geenlijst"/>
    <w:pPr>
      <w:numPr>
        <w:numId w:val="1"/>
      </w:numPr>
    </w:pPr>
  </w:style>
  <w:style w:type="numbering" w:customStyle="1" w:styleId="WWNum1">
    <w:name w:val="WWNum1"/>
    <w:basedOn w:val="Geenlijst"/>
    <w:pPr>
      <w:numPr>
        <w:numId w:val="2"/>
      </w:numPr>
    </w:pPr>
  </w:style>
  <w:style w:type="numbering" w:customStyle="1" w:styleId="WWNum2">
    <w:name w:val="WWNum2"/>
    <w:basedOn w:val="Geenlijst"/>
    <w:pPr>
      <w:numPr>
        <w:numId w:val="3"/>
      </w:numPr>
    </w:pPr>
  </w:style>
  <w:style w:type="numbering" w:customStyle="1" w:styleId="WWNum3">
    <w:name w:val="WWNum3"/>
    <w:basedOn w:val="Geenlijst"/>
    <w:pPr>
      <w:numPr>
        <w:numId w:val="4"/>
      </w:numPr>
    </w:pPr>
  </w:style>
  <w:style w:type="numbering" w:customStyle="1" w:styleId="WWNum4">
    <w:name w:val="WWNum4"/>
    <w:basedOn w:val="Geenlijst"/>
    <w:pPr>
      <w:numPr>
        <w:numId w:val="5"/>
      </w:numPr>
    </w:pPr>
  </w:style>
  <w:style w:type="numbering" w:customStyle="1" w:styleId="WWNum5">
    <w:name w:val="WWNum5"/>
    <w:basedOn w:val="Geenlijst"/>
    <w:pPr>
      <w:numPr>
        <w:numId w:val="6"/>
      </w:numPr>
    </w:pPr>
  </w:style>
  <w:style w:type="numbering" w:customStyle="1" w:styleId="WWNum6">
    <w:name w:val="WWNum6"/>
    <w:basedOn w:val="Geenlijst"/>
    <w:pPr>
      <w:numPr>
        <w:numId w:val="7"/>
      </w:numPr>
    </w:pPr>
  </w:style>
  <w:style w:type="numbering" w:customStyle="1" w:styleId="WWNum7">
    <w:name w:val="WWNum7"/>
    <w:basedOn w:val="Geenlijst"/>
    <w:pPr>
      <w:numPr>
        <w:numId w:val="8"/>
      </w:numPr>
    </w:pPr>
  </w:style>
  <w:style w:type="numbering" w:customStyle="1" w:styleId="WWNum8">
    <w:name w:val="WWNum8"/>
    <w:basedOn w:val="Geenlijst"/>
    <w:pPr>
      <w:numPr>
        <w:numId w:val="9"/>
      </w:numPr>
    </w:pPr>
  </w:style>
  <w:style w:type="numbering" w:customStyle="1" w:styleId="WWNum9">
    <w:name w:val="WWNum9"/>
    <w:basedOn w:val="Geenlijst"/>
    <w:pPr>
      <w:numPr>
        <w:numId w:val="10"/>
      </w:numPr>
    </w:pPr>
  </w:style>
  <w:style w:type="numbering" w:customStyle="1" w:styleId="WWNum10">
    <w:name w:val="WWNum10"/>
    <w:basedOn w:val="Geenlijst"/>
    <w:pPr>
      <w:numPr>
        <w:numId w:val="11"/>
      </w:numPr>
    </w:pPr>
  </w:style>
  <w:style w:type="numbering" w:customStyle="1" w:styleId="WWNum11">
    <w:name w:val="WWNum11"/>
    <w:basedOn w:val="Geenlijst"/>
    <w:pPr>
      <w:numPr>
        <w:numId w:val="12"/>
      </w:numPr>
    </w:pPr>
  </w:style>
  <w:style w:type="numbering" w:customStyle="1" w:styleId="WWNum12">
    <w:name w:val="WWNum12"/>
    <w:basedOn w:val="Geenlijst"/>
    <w:pPr>
      <w:numPr>
        <w:numId w:val="13"/>
      </w:numPr>
    </w:pPr>
  </w:style>
  <w:style w:type="numbering" w:customStyle="1" w:styleId="WWNum13">
    <w:name w:val="WWNum13"/>
    <w:basedOn w:val="Geenlijst"/>
    <w:pPr>
      <w:numPr>
        <w:numId w:val="14"/>
      </w:numPr>
    </w:pPr>
  </w:style>
  <w:style w:type="numbering" w:customStyle="1" w:styleId="WWNum14">
    <w:name w:val="WWNum14"/>
    <w:basedOn w:val="Geenlijst"/>
    <w:pPr>
      <w:numPr>
        <w:numId w:val="15"/>
      </w:numPr>
    </w:pPr>
  </w:style>
  <w:style w:type="numbering" w:customStyle="1" w:styleId="WWNum15">
    <w:name w:val="WWNum15"/>
    <w:basedOn w:val="Geenlijst"/>
    <w:pPr>
      <w:numPr>
        <w:numId w:val="16"/>
      </w:numPr>
    </w:pPr>
  </w:style>
  <w:style w:type="numbering" w:customStyle="1" w:styleId="WWNum16">
    <w:name w:val="WWNum16"/>
    <w:basedOn w:val="Geenlijst"/>
    <w:pPr>
      <w:numPr>
        <w:numId w:val="17"/>
      </w:numPr>
    </w:pPr>
  </w:style>
  <w:style w:type="numbering" w:customStyle="1" w:styleId="WWNum17">
    <w:name w:val="WWNum17"/>
    <w:basedOn w:val="Geenlijst"/>
    <w:pPr>
      <w:numPr>
        <w:numId w:val="18"/>
      </w:numPr>
    </w:pPr>
  </w:style>
  <w:style w:type="numbering" w:customStyle="1" w:styleId="WWNum18">
    <w:name w:val="WWNum18"/>
    <w:basedOn w:val="Geenlijst"/>
    <w:pPr>
      <w:numPr>
        <w:numId w:val="19"/>
      </w:numPr>
    </w:pPr>
  </w:style>
  <w:style w:type="numbering" w:customStyle="1" w:styleId="WWNum19">
    <w:name w:val="WWNum19"/>
    <w:basedOn w:val="Geenlijst"/>
    <w:pPr>
      <w:numPr>
        <w:numId w:val="20"/>
      </w:numPr>
    </w:pPr>
  </w:style>
  <w:style w:type="numbering" w:customStyle="1" w:styleId="WWNum20">
    <w:name w:val="WWNum20"/>
    <w:basedOn w:val="Geenlijst"/>
    <w:pPr>
      <w:numPr>
        <w:numId w:val="21"/>
      </w:numPr>
    </w:pPr>
  </w:style>
  <w:style w:type="numbering" w:customStyle="1" w:styleId="WWNum21">
    <w:name w:val="WWNum21"/>
    <w:basedOn w:val="Geenlijst"/>
    <w:pPr>
      <w:numPr>
        <w:numId w:val="22"/>
      </w:numPr>
    </w:pPr>
  </w:style>
  <w:style w:type="numbering" w:customStyle="1" w:styleId="WWNum22">
    <w:name w:val="WWNum22"/>
    <w:basedOn w:val="Geenlijst"/>
    <w:pPr>
      <w:numPr>
        <w:numId w:val="23"/>
      </w:numPr>
    </w:pPr>
  </w:style>
  <w:style w:type="numbering" w:customStyle="1" w:styleId="WWNum23">
    <w:name w:val="WWNum23"/>
    <w:basedOn w:val="Geenlijst"/>
    <w:pPr>
      <w:numPr>
        <w:numId w:val="24"/>
      </w:numPr>
    </w:pPr>
  </w:style>
  <w:style w:type="numbering" w:customStyle="1" w:styleId="WWNum24">
    <w:name w:val="WWNum24"/>
    <w:basedOn w:val="Geenlijst"/>
    <w:pPr>
      <w:numPr>
        <w:numId w:val="25"/>
      </w:numPr>
    </w:pPr>
  </w:style>
  <w:style w:type="numbering" w:customStyle="1" w:styleId="WWNum25">
    <w:name w:val="WWNum25"/>
    <w:basedOn w:val="Geenlijst"/>
    <w:pPr>
      <w:numPr>
        <w:numId w:val="26"/>
      </w:numPr>
    </w:pPr>
  </w:style>
  <w:style w:type="numbering" w:customStyle="1" w:styleId="WWNum26">
    <w:name w:val="WWNum26"/>
    <w:basedOn w:val="Geenlijst"/>
    <w:pPr>
      <w:numPr>
        <w:numId w:val="27"/>
      </w:numPr>
    </w:pPr>
  </w:style>
  <w:style w:type="numbering" w:customStyle="1" w:styleId="WWNum27">
    <w:name w:val="WWNum27"/>
    <w:basedOn w:val="Geenlijst"/>
    <w:pPr>
      <w:numPr>
        <w:numId w:val="28"/>
      </w:numPr>
    </w:pPr>
  </w:style>
  <w:style w:type="numbering" w:customStyle="1" w:styleId="WWNum28">
    <w:name w:val="WWNum28"/>
    <w:basedOn w:val="Geenlijst"/>
    <w:pPr>
      <w:numPr>
        <w:numId w:val="29"/>
      </w:numPr>
    </w:pPr>
  </w:style>
  <w:style w:type="numbering" w:customStyle="1" w:styleId="WWNum29">
    <w:name w:val="WWNum29"/>
    <w:basedOn w:val="Geenlijst"/>
    <w:pPr>
      <w:numPr>
        <w:numId w:val="30"/>
      </w:numPr>
    </w:pPr>
  </w:style>
  <w:style w:type="numbering" w:customStyle="1" w:styleId="WWNum30">
    <w:name w:val="WWNum30"/>
    <w:basedOn w:val="Geenlijst"/>
    <w:pPr>
      <w:numPr>
        <w:numId w:val="31"/>
      </w:numPr>
    </w:pPr>
  </w:style>
  <w:style w:type="numbering" w:customStyle="1" w:styleId="WWNum31">
    <w:name w:val="WWNum31"/>
    <w:basedOn w:val="Geenlijst"/>
    <w:pPr>
      <w:numPr>
        <w:numId w:val="32"/>
      </w:numPr>
    </w:pPr>
  </w:style>
  <w:style w:type="numbering" w:customStyle="1" w:styleId="WWNum32">
    <w:name w:val="WWNum32"/>
    <w:basedOn w:val="Geenlijst"/>
    <w:pPr>
      <w:numPr>
        <w:numId w:val="33"/>
      </w:numPr>
    </w:pPr>
  </w:style>
  <w:style w:type="numbering" w:customStyle="1" w:styleId="WWNum33">
    <w:name w:val="WWNum33"/>
    <w:basedOn w:val="Geenlijst"/>
    <w:pPr>
      <w:numPr>
        <w:numId w:val="34"/>
      </w:numPr>
    </w:pPr>
  </w:style>
  <w:style w:type="numbering" w:customStyle="1" w:styleId="WWNum34">
    <w:name w:val="WWNum34"/>
    <w:basedOn w:val="Geenlijst"/>
    <w:pPr>
      <w:numPr>
        <w:numId w:val="35"/>
      </w:numPr>
    </w:pPr>
  </w:style>
  <w:style w:type="numbering" w:customStyle="1" w:styleId="WWNum35">
    <w:name w:val="WWNum35"/>
    <w:basedOn w:val="Geenlijst"/>
    <w:pPr>
      <w:numPr>
        <w:numId w:val="36"/>
      </w:numPr>
    </w:pPr>
  </w:style>
  <w:style w:type="numbering" w:customStyle="1" w:styleId="WWNum36">
    <w:name w:val="WWNum36"/>
    <w:basedOn w:val="Geenlijst"/>
    <w:pPr>
      <w:numPr>
        <w:numId w:val="37"/>
      </w:numPr>
    </w:pPr>
  </w:style>
  <w:style w:type="numbering" w:customStyle="1" w:styleId="WWNum37">
    <w:name w:val="WWNum37"/>
    <w:basedOn w:val="Geenlijst"/>
    <w:pPr>
      <w:numPr>
        <w:numId w:val="38"/>
      </w:numPr>
    </w:pPr>
  </w:style>
  <w:style w:type="numbering" w:customStyle="1" w:styleId="WWNum38">
    <w:name w:val="WWNum38"/>
    <w:basedOn w:val="Geenlijst"/>
    <w:pPr>
      <w:numPr>
        <w:numId w:val="39"/>
      </w:numPr>
    </w:pPr>
  </w:style>
  <w:style w:type="numbering" w:customStyle="1" w:styleId="WWNum39">
    <w:name w:val="WWNum39"/>
    <w:basedOn w:val="Geenlijst"/>
    <w:pPr>
      <w:numPr>
        <w:numId w:val="40"/>
      </w:numPr>
    </w:pPr>
  </w:style>
  <w:style w:type="numbering" w:customStyle="1" w:styleId="WWNum40">
    <w:name w:val="WWNum40"/>
    <w:basedOn w:val="Geenlijst"/>
    <w:pPr>
      <w:numPr>
        <w:numId w:val="41"/>
      </w:numPr>
    </w:pPr>
  </w:style>
  <w:style w:type="numbering" w:customStyle="1" w:styleId="WWNum41">
    <w:name w:val="WWNum41"/>
    <w:basedOn w:val="Geenlijst"/>
    <w:pPr>
      <w:numPr>
        <w:numId w:val="42"/>
      </w:numPr>
    </w:pPr>
  </w:style>
  <w:style w:type="numbering" w:customStyle="1" w:styleId="WWNum42">
    <w:name w:val="WWNum42"/>
    <w:basedOn w:val="Geenlijst"/>
    <w:pPr>
      <w:numPr>
        <w:numId w:val="43"/>
      </w:numPr>
    </w:pPr>
  </w:style>
  <w:style w:type="numbering" w:customStyle="1" w:styleId="WWNum43">
    <w:name w:val="WWNum43"/>
    <w:basedOn w:val="Geenlijst"/>
    <w:pPr>
      <w:numPr>
        <w:numId w:val="44"/>
      </w:numPr>
    </w:pPr>
  </w:style>
  <w:style w:type="numbering" w:customStyle="1" w:styleId="WWNum44">
    <w:name w:val="WWNum44"/>
    <w:basedOn w:val="Geenlijst"/>
    <w:pPr>
      <w:numPr>
        <w:numId w:val="45"/>
      </w:numPr>
    </w:pPr>
  </w:style>
  <w:style w:type="numbering" w:customStyle="1" w:styleId="WWNum45">
    <w:name w:val="WWNum45"/>
    <w:basedOn w:val="Geenlijst"/>
    <w:pPr>
      <w:numPr>
        <w:numId w:val="46"/>
      </w:numPr>
    </w:pPr>
  </w:style>
  <w:style w:type="numbering" w:customStyle="1" w:styleId="WWNum46">
    <w:name w:val="WWNum46"/>
    <w:basedOn w:val="Geenlijst"/>
    <w:pPr>
      <w:numPr>
        <w:numId w:val="47"/>
      </w:numPr>
    </w:pPr>
  </w:style>
  <w:style w:type="numbering" w:customStyle="1" w:styleId="WWNum47">
    <w:name w:val="WWNum47"/>
    <w:basedOn w:val="Geenlijst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BB08583F66B40AEBA52947C03F43F" ma:contentTypeVersion="18" ma:contentTypeDescription="Een nieuw document maken." ma:contentTypeScope="" ma:versionID="576f9aa7d77049bbee3ca7009fbc5cae">
  <xsd:schema xmlns:xsd="http://www.w3.org/2001/XMLSchema" xmlns:xs="http://www.w3.org/2001/XMLSchema" xmlns:p="http://schemas.microsoft.com/office/2006/metadata/properties" xmlns:ns2="4580d391-ac10-4a2e-a7f5-991a998eafbb" xmlns:ns3="3c143dd4-7cf0-4e5b-afc5-5c501ae141f3" xmlns:ns4="9f7c9058-5d7f-4872-85cc-aa89c635f34b" targetNamespace="http://schemas.microsoft.com/office/2006/metadata/properties" ma:root="true" ma:fieldsID="ba71ff273ed30454d64c56f2b8b584cb" ns2:_="" ns3:_="" ns4:_="">
    <xsd:import namespace="4580d391-ac10-4a2e-a7f5-991a998eafbb"/>
    <xsd:import namespace="3c143dd4-7cf0-4e5b-afc5-5c501ae141f3"/>
    <xsd:import namespace="9f7c9058-5d7f-4872-85cc-aa89c635f3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d391-ac10-4a2e-a7f5-991a998eafb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43dd4-7cf0-4e5b-afc5-5c501ae14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7e023fec-95ab-410a-b1ab-f3e2312ff4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c9058-5d7f-4872-85cc-aa89c635f34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e6cff9ca-5be4-4c37-9e06-ea001f9916b8}" ma:internalName="TaxCatchAll" ma:showField="CatchAllData" ma:web="4580d391-ac10-4a2e-a7f5-991a998e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143dd4-7cf0-4e5b-afc5-5c501ae141f3">
      <Terms xmlns="http://schemas.microsoft.com/office/infopath/2007/PartnerControls"/>
    </lcf76f155ced4ddcb4097134ff3c332f>
    <TaxCatchAll xmlns="9f7c9058-5d7f-4872-85cc-aa89c635f34b" xsi:nil="true"/>
    <_dlc_DocId xmlns="4580d391-ac10-4a2e-a7f5-991a998eafbb">PPSRS4JSQQPJ-865578515-12775</_dlc_DocId>
    <_dlc_DocIdUrl xmlns="4580d391-ac10-4a2e-a7f5-991a998eafbb">
      <Url>https://vrgroningen.sharepoint.com/sites/bestuur/_layouts/15/DocIdRedir.aspx?ID=PPSRS4JSQQPJ-865578515-12775</Url>
      <Description>PPSRS4JSQQPJ-865578515-12775</Description>
    </_dlc_DocIdUrl>
  </documentManagement>
</p:properties>
</file>

<file path=customXml/itemProps1.xml><?xml version="1.0" encoding="utf-8"?>
<ds:datastoreItem xmlns:ds="http://schemas.openxmlformats.org/officeDocument/2006/customXml" ds:itemID="{8853B16E-0F39-475F-AE2C-A79BC6D6C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d391-ac10-4a2e-a7f5-991a998eafbb"/>
    <ds:schemaRef ds:uri="3c143dd4-7cf0-4e5b-afc5-5c501ae141f3"/>
    <ds:schemaRef ds:uri="9f7c9058-5d7f-4872-85cc-aa89c635f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86534-AB3E-4259-BA22-DF58D16E002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75DED82-DE12-40F7-B835-8900E1AC56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79ECB-80CB-4777-90FE-F7451F00D6DF}">
  <ds:schemaRefs>
    <ds:schemaRef ds:uri="http://schemas.microsoft.com/office/2006/documentManagement/types"/>
    <ds:schemaRef ds:uri="9f7c9058-5d7f-4872-85cc-aa89c635f34b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580d391-ac10-4a2e-a7f5-991a998eafbb"/>
    <ds:schemaRef ds:uri="http://purl.org/dc/terms/"/>
    <ds:schemaRef ds:uri="3c143dd4-7cf0-4e5b-afc5-5c501ae141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Marijke Hermans</dc:creator>
  <cp:lastModifiedBy>Stephanie Kremer - van der Loo</cp:lastModifiedBy>
  <cp:revision>2</cp:revision>
  <cp:lastPrinted>2020-05-11T07:44:00Z</cp:lastPrinted>
  <dcterms:created xsi:type="dcterms:W3CDTF">2023-08-31T09:23:00Z</dcterms:created>
  <dcterms:modified xsi:type="dcterms:W3CDTF">2023-08-31T09:23:00Z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Gemeente Groningen</vt:lpwstr>
  </property>
  <property fmtid="{D5CDD505-2E9C-101B-9397-08002B2CF9AE}" pid="4" name="ContentTypeId">
    <vt:lpwstr>0x010100BABBB08583F66B40AEBA52947C03F43F</vt:lpwstr>
  </property>
  <property fmtid="{D5CDD505-2E9C-101B-9397-08002B2CF9AE}" pid="5" name="Order">
    <vt:r8>100</vt:r8>
  </property>
  <property fmtid="{D5CDD505-2E9C-101B-9397-08002B2CF9AE}" pid="6" name="_dlc_DocIdItemGuid">
    <vt:lpwstr>f277f9af-6a38-4816-87d3-4676ae01ca59</vt:lpwstr>
  </property>
</Properties>
</file>